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E9" w:rsidRPr="009800E9" w:rsidRDefault="009800E9" w:rsidP="009800E9">
      <w:pPr>
        <w:tabs>
          <w:tab w:val="left" w:pos="4975"/>
          <w:tab w:val="left" w:pos="5495"/>
        </w:tabs>
        <w:ind w:left="15"/>
        <w:rPr>
          <w:rFonts w:ascii="Arial" w:hAnsi="Arial" w:cs="Arial"/>
          <w:b/>
          <w:bCs/>
        </w:rPr>
      </w:pPr>
      <w:bookmarkStart w:id="0" w:name="_GoBack"/>
      <w:r w:rsidRPr="009800E9">
        <w:rPr>
          <w:rFonts w:ascii="Arial" w:hAnsi="Arial" w:cs="Arial"/>
          <w:b/>
          <w:bCs/>
        </w:rPr>
        <w:t>Timing of anti-platelet administration following admission with acute stroke</w:t>
      </w:r>
    </w:p>
    <w:bookmarkEnd w:id="0"/>
    <w:p w:rsidR="009800E9" w:rsidRPr="009800E9" w:rsidRDefault="009800E9" w:rsidP="009800E9">
      <w:pPr>
        <w:rPr>
          <w:rFonts w:ascii="Arial" w:hAnsi="Arial" w:cs="Arial"/>
        </w:rPr>
      </w:pPr>
      <w:r w:rsidRPr="009800E9">
        <w:rPr>
          <w:rFonts w:ascii="Arial" w:hAnsi="Arial" w:cs="Arial"/>
        </w:rPr>
        <w:t xml:space="preserve">Dr Christopher Owen, Dr Sue Evans, Dr Alex Dudley-Cooke (FY2 doctor - </w:t>
      </w:r>
      <w:r w:rsidRPr="009800E9">
        <w:rPr>
          <w:rFonts w:ascii="Arial" w:hAnsi="Arial" w:cs="Arial"/>
          <w:color w:val="FF0000"/>
        </w:rPr>
        <w:t>Unable to present due to weather</w:t>
      </w:r>
      <w:r w:rsidRPr="009800E9">
        <w:rPr>
          <w:rFonts w:ascii="Arial" w:hAnsi="Arial" w:cs="Arial"/>
        </w:rPr>
        <w:t>)</w:t>
      </w:r>
    </w:p>
    <w:p w:rsidR="009800E9" w:rsidRPr="009800E9" w:rsidRDefault="009800E9" w:rsidP="009800E9">
      <w:pPr>
        <w:tabs>
          <w:tab w:val="left" w:pos="4975"/>
          <w:tab w:val="left" w:pos="5495"/>
        </w:tabs>
        <w:ind w:left="15"/>
        <w:rPr>
          <w:rFonts w:ascii="Arial" w:hAnsi="Arial" w:cs="Arial"/>
          <w:b/>
          <w:bCs/>
        </w:rPr>
      </w:pPr>
    </w:p>
    <w:p w:rsidR="009800E9" w:rsidRPr="009800E9" w:rsidRDefault="009800E9" w:rsidP="009800E9">
      <w:pPr>
        <w:tabs>
          <w:tab w:val="left" w:pos="4975"/>
          <w:tab w:val="left" w:pos="5495"/>
        </w:tabs>
        <w:ind w:left="15"/>
        <w:rPr>
          <w:rFonts w:ascii="Arial" w:hAnsi="Arial" w:cs="Arial"/>
          <w:bCs/>
        </w:rPr>
      </w:pPr>
      <w:r w:rsidRPr="009800E9">
        <w:rPr>
          <w:rFonts w:ascii="Arial" w:hAnsi="Arial" w:cs="Arial"/>
          <w:b/>
          <w:bCs/>
        </w:rPr>
        <w:t>Background:</w:t>
      </w:r>
      <w:r w:rsidRPr="009800E9">
        <w:rPr>
          <w:rFonts w:ascii="Arial" w:hAnsi="Arial" w:cs="Arial"/>
          <w:bCs/>
        </w:rPr>
        <w:t xml:space="preserve"> </w:t>
      </w:r>
    </w:p>
    <w:p w:rsidR="009800E9" w:rsidRDefault="009800E9" w:rsidP="009800E9">
      <w:pPr>
        <w:rPr>
          <w:rFonts w:ascii="Arial" w:hAnsi="Arial" w:cs="Arial"/>
        </w:rPr>
      </w:pPr>
    </w:p>
    <w:p w:rsidR="009800E9" w:rsidRPr="009800E9" w:rsidRDefault="009800E9" w:rsidP="009800E9">
      <w:pPr>
        <w:rPr>
          <w:rFonts w:ascii="Arial" w:hAnsi="Arial" w:cs="Arial"/>
        </w:rPr>
      </w:pPr>
      <w:r w:rsidRPr="009800E9">
        <w:rPr>
          <w:rFonts w:ascii="Arial" w:hAnsi="Arial" w:cs="Arial"/>
        </w:rPr>
        <w:t xml:space="preserve">The National Stroke Strategy 2007 recommends that anti-platelet treatment is given as soon as possible after an ischaemic stroke or TIA. Accordingly, targets for stroke services include the proportion of patients receiving treatment within 24 and 48 hours. As well as being a critical step in the management of individuals with ischaemic stroke this target also acts as a quality marker for the overall admission process. </w:t>
      </w:r>
    </w:p>
    <w:p w:rsidR="009800E9" w:rsidRDefault="009800E9" w:rsidP="009800E9">
      <w:pPr>
        <w:tabs>
          <w:tab w:val="left" w:pos="4975"/>
          <w:tab w:val="left" w:pos="5495"/>
        </w:tabs>
        <w:ind w:left="15"/>
        <w:rPr>
          <w:rFonts w:ascii="Arial" w:hAnsi="Arial" w:cs="Arial"/>
          <w:b/>
          <w:bCs/>
        </w:rPr>
      </w:pPr>
    </w:p>
    <w:p w:rsidR="009800E9" w:rsidRPr="009800E9" w:rsidRDefault="009800E9" w:rsidP="009800E9">
      <w:pPr>
        <w:tabs>
          <w:tab w:val="left" w:pos="4975"/>
          <w:tab w:val="left" w:pos="5495"/>
        </w:tabs>
        <w:ind w:left="15"/>
        <w:rPr>
          <w:rFonts w:ascii="Arial" w:hAnsi="Arial" w:cs="Arial"/>
          <w:bCs/>
        </w:rPr>
      </w:pPr>
      <w:r w:rsidRPr="009800E9">
        <w:rPr>
          <w:rFonts w:ascii="Arial" w:hAnsi="Arial" w:cs="Arial"/>
          <w:b/>
          <w:bCs/>
        </w:rPr>
        <w:t>Methods:</w:t>
      </w:r>
      <w:r w:rsidRPr="009800E9">
        <w:rPr>
          <w:rFonts w:ascii="Arial" w:hAnsi="Arial" w:cs="Arial"/>
          <w:bCs/>
        </w:rPr>
        <w:t xml:space="preserve"> </w:t>
      </w:r>
    </w:p>
    <w:p w:rsidR="009800E9" w:rsidRDefault="009800E9" w:rsidP="009800E9">
      <w:pPr>
        <w:tabs>
          <w:tab w:val="left" w:pos="4975"/>
          <w:tab w:val="left" w:pos="5495"/>
        </w:tabs>
        <w:ind w:left="15"/>
        <w:rPr>
          <w:rFonts w:ascii="Arial" w:hAnsi="Arial" w:cs="Arial"/>
          <w:bCs/>
        </w:rPr>
      </w:pPr>
    </w:p>
    <w:p w:rsidR="009800E9" w:rsidRPr="009800E9" w:rsidRDefault="009800E9" w:rsidP="009800E9">
      <w:pPr>
        <w:tabs>
          <w:tab w:val="left" w:pos="4975"/>
          <w:tab w:val="left" w:pos="5495"/>
        </w:tabs>
        <w:ind w:left="15"/>
        <w:rPr>
          <w:rFonts w:ascii="Arial" w:hAnsi="Arial" w:cs="Arial"/>
          <w:bCs/>
        </w:rPr>
      </w:pPr>
      <w:r w:rsidRPr="009800E9">
        <w:rPr>
          <w:rFonts w:ascii="Arial" w:hAnsi="Arial" w:cs="Arial"/>
          <w:bCs/>
        </w:rPr>
        <w:t>The case notes of every patient admitted to the stroke unit over a two week period were reviewed and the time at which each event in the chain leading up to anti-platelet dosing was recorded.</w:t>
      </w:r>
    </w:p>
    <w:p w:rsidR="009800E9" w:rsidRDefault="009800E9" w:rsidP="009800E9">
      <w:pPr>
        <w:tabs>
          <w:tab w:val="left" w:pos="4975"/>
          <w:tab w:val="left" w:pos="5495"/>
        </w:tabs>
        <w:ind w:left="15"/>
        <w:rPr>
          <w:rFonts w:ascii="Arial" w:hAnsi="Arial" w:cs="Arial"/>
          <w:b/>
          <w:bCs/>
        </w:rPr>
      </w:pPr>
    </w:p>
    <w:p w:rsidR="009800E9" w:rsidRPr="009800E9" w:rsidRDefault="009800E9" w:rsidP="009800E9">
      <w:pPr>
        <w:tabs>
          <w:tab w:val="left" w:pos="4975"/>
          <w:tab w:val="left" w:pos="5495"/>
        </w:tabs>
        <w:ind w:left="15"/>
        <w:rPr>
          <w:rFonts w:ascii="Arial" w:hAnsi="Arial" w:cs="Arial"/>
          <w:bCs/>
        </w:rPr>
      </w:pPr>
      <w:r w:rsidRPr="009800E9">
        <w:rPr>
          <w:rFonts w:ascii="Arial" w:hAnsi="Arial" w:cs="Arial"/>
          <w:b/>
          <w:bCs/>
        </w:rPr>
        <w:t>Results:</w:t>
      </w:r>
      <w:r w:rsidRPr="009800E9">
        <w:rPr>
          <w:rFonts w:ascii="Arial" w:hAnsi="Arial" w:cs="Arial"/>
          <w:bCs/>
        </w:rPr>
        <w:t xml:space="preserve"> </w:t>
      </w:r>
    </w:p>
    <w:p w:rsidR="009800E9" w:rsidRDefault="009800E9" w:rsidP="009800E9">
      <w:pPr>
        <w:tabs>
          <w:tab w:val="left" w:pos="4975"/>
          <w:tab w:val="left" w:pos="5495"/>
        </w:tabs>
        <w:rPr>
          <w:rFonts w:ascii="Arial" w:hAnsi="Arial" w:cs="Arial"/>
          <w:bCs/>
        </w:rPr>
      </w:pPr>
    </w:p>
    <w:p w:rsidR="009800E9" w:rsidRPr="009800E9" w:rsidRDefault="009800E9" w:rsidP="009800E9">
      <w:pPr>
        <w:tabs>
          <w:tab w:val="left" w:pos="4975"/>
          <w:tab w:val="left" w:pos="5495"/>
        </w:tabs>
        <w:rPr>
          <w:rFonts w:ascii="Arial" w:hAnsi="Arial" w:cs="Arial"/>
          <w:bCs/>
        </w:rPr>
      </w:pPr>
      <w:r w:rsidRPr="009800E9">
        <w:rPr>
          <w:rFonts w:ascii="Arial" w:hAnsi="Arial" w:cs="Arial"/>
          <w:bCs/>
        </w:rPr>
        <w:t xml:space="preserve">The results of the initial audit showed that the target for proportion of patients receiving anti-platelet therapy within 24 hours of admission was not been met. Analysis of secondary outcomes highlighted where avoidable delays were occurring. </w:t>
      </w:r>
    </w:p>
    <w:p w:rsidR="009800E9" w:rsidRDefault="009800E9" w:rsidP="009800E9">
      <w:pPr>
        <w:tabs>
          <w:tab w:val="left" w:pos="4975"/>
          <w:tab w:val="left" w:pos="5495"/>
        </w:tabs>
        <w:rPr>
          <w:rFonts w:ascii="Arial" w:hAnsi="Arial" w:cs="Arial"/>
          <w:b/>
          <w:bCs/>
        </w:rPr>
      </w:pPr>
    </w:p>
    <w:p w:rsidR="009800E9" w:rsidRPr="009800E9" w:rsidRDefault="009800E9" w:rsidP="009800E9">
      <w:pPr>
        <w:tabs>
          <w:tab w:val="left" w:pos="4975"/>
          <w:tab w:val="left" w:pos="5495"/>
        </w:tabs>
        <w:rPr>
          <w:rFonts w:ascii="Arial" w:hAnsi="Arial" w:cs="Arial"/>
          <w:b/>
          <w:bCs/>
        </w:rPr>
      </w:pPr>
      <w:r w:rsidRPr="009800E9">
        <w:rPr>
          <w:rFonts w:ascii="Arial" w:hAnsi="Arial" w:cs="Arial"/>
          <w:b/>
          <w:bCs/>
        </w:rPr>
        <w:t>Key messages:</w:t>
      </w:r>
    </w:p>
    <w:p w:rsidR="009800E9" w:rsidRDefault="009800E9" w:rsidP="009800E9">
      <w:pPr>
        <w:tabs>
          <w:tab w:val="left" w:pos="4975"/>
          <w:tab w:val="left" w:pos="5495"/>
        </w:tabs>
        <w:rPr>
          <w:rFonts w:ascii="Arial" w:hAnsi="Arial" w:cs="Arial"/>
          <w:bCs/>
        </w:rPr>
      </w:pPr>
    </w:p>
    <w:p w:rsidR="009800E9" w:rsidRPr="009800E9" w:rsidRDefault="009800E9" w:rsidP="009800E9">
      <w:pPr>
        <w:tabs>
          <w:tab w:val="left" w:pos="4975"/>
          <w:tab w:val="left" w:pos="5495"/>
        </w:tabs>
        <w:rPr>
          <w:rFonts w:ascii="Arial" w:hAnsi="Arial" w:cs="Arial"/>
          <w:bCs/>
        </w:rPr>
      </w:pPr>
      <w:r w:rsidRPr="009800E9">
        <w:rPr>
          <w:rFonts w:ascii="Arial" w:hAnsi="Arial" w:cs="Arial"/>
          <w:bCs/>
        </w:rPr>
        <w:t xml:space="preserve">Several simple interventions addressed deficiencies in process, leading to department meeting target on subsequent re-audit, highlighting the role of clinical governance in service improvement. </w:t>
      </w:r>
    </w:p>
    <w:p w:rsidR="009800E9" w:rsidRPr="009800E9" w:rsidRDefault="009800E9" w:rsidP="009800E9">
      <w:pPr>
        <w:tabs>
          <w:tab w:val="left" w:pos="4975"/>
          <w:tab w:val="left" w:pos="5495"/>
        </w:tabs>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417"/>
        <w:gridCol w:w="2416"/>
        <w:gridCol w:w="2584"/>
      </w:tblGrid>
      <w:tr w:rsidR="009800E9" w:rsidRPr="009800E9" w:rsidTr="009800E9">
        <w:tc>
          <w:tcPr>
            <w:tcW w:w="1236" w:type="pct"/>
            <w:tcBorders>
              <w:top w:val="single" w:sz="4" w:space="0" w:color="auto"/>
              <w:left w:val="single" w:sz="4" w:space="0" w:color="auto"/>
              <w:bottom w:val="single" w:sz="4" w:space="0" w:color="auto"/>
              <w:right w:val="single" w:sz="4" w:space="0" w:color="auto"/>
            </w:tcBorders>
            <w:vAlign w:val="center"/>
            <w:hideMark/>
          </w:tcPr>
          <w:p w:rsidR="009800E9" w:rsidRPr="009800E9" w:rsidRDefault="009800E9" w:rsidP="00F82EC3">
            <w:pPr>
              <w:rPr>
                <w:rFonts w:ascii="Arial" w:hAnsi="Arial" w:cs="Arial"/>
                <w:b/>
              </w:rPr>
            </w:pPr>
            <w:r w:rsidRPr="009800E9">
              <w:rPr>
                <w:rFonts w:ascii="Arial" w:hAnsi="Arial" w:cs="Arial"/>
                <w:b/>
              </w:rPr>
              <w:t xml:space="preserve">Target </w:t>
            </w:r>
          </w:p>
        </w:tc>
        <w:tc>
          <w:tcPr>
            <w:tcW w:w="1226" w:type="pct"/>
            <w:tcBorders>
              <w:top w:val="single" w:sz="4" w:space="0" w:color="auto"/>
              <w:left w:val="single" w:sz="4" w:space="0" w:color="auto"/>
              <w:bottom w:val="single" w:sz="4" w:space="0" w:color="auto"/>
              <w:right w:val="single" w:sz="4" w:space="0" w:color="auto"/>
            </w:tcBorders>
            <w:vAlign w:val="center"/>
            <w:hideMark/>
          </w:tcPr>
          <w:p w:rsidR="009800E9" w:rsidRPr="009800E9" w:rsidRDefault="009800E9" w:rsidP="00F82EC3">
            <w:pPr>
              <w:rPr>
                <w:rFonts w:ascii="Arial" w:hAnsi="Arial" w:cs="Arial"/>
                <w:b/>
              </w:rPr>
            </w:pPr>
            <w:r w:rsidRPr="009800E9">
              <w:rPr>
                <w:rFonts w:ascii="Arial" w:hAnsi="Arial" w:cs="Arial"/>
                <w:b/>
              </w:rPr>
              <w:t>Standard</w:t>
            </w:r>
          </w:p>
        </w:tc>
        <w:tc>
          <w:tcPr>
            <w:tcW w:w="1226" w:type="pct"/>
            <w:tcBorders>
              <w:top w:val="single" w:sz="4" w:space="0" w:color="auto"/>
              <w:left w:val="single" w:sz="4" w:space="0" w:color="auto"/>
              <w:bottom w:val="single" w:sz="4" w:space="0" w:color="auto"/>
              <w:right w:val="single" w:sz="4" w:space="0" w:color="auto"/>
            </w:tcBorders>
            <w:vAlign w:val="center"/>
            <w:hideMark/>
          </w:tcPr>
          <w:p w:rsidR="009800E9" w:rsidRPr="009800E9" w:rsidRDefault="009800E9" w:rsidP="00F82EC3">
            <w:pPr>
              <w:rPr>
                <w:rFonts w:ascii="Arial" w:hAnsi="Arial" w:cs="Arial"/>
                <w:b/>
              </w:rPr>
            </w:pPr>
            <w:r w:rsidRPr="009800E9">
              <w:rPr>
                <w:rFonts w:ascii="Arial" w:hAnsi="Arial" w:cs="Arial"/>
                <w:b/>
              </w:rPr>
              <w:t>Initial audit</w:t>
            </w:r>
          </w:p>
        </w:tc>
        <w:tc>
          <w:tcPr>
            <w:tcW w:w="1311" w:type="pct"/>
            <w:tcBorders>
              <w:top w:val="single" w:sz="4" w:space="0" w:color="auto"/>
              <w:left w:val="single" w:sz="4" w:space="0" w:color="auto"/>
              <w:bottom w:val="single" w:sz="4" w:space="0" w:color="auto"/>
              <w:right w:val="single" w:sz="4" w:space="0" w:color="auto"/>
            </w:tcBorders>
            <w:vAlign w:val="center"/>
            <w:hideMark/>
          </w:tcPr>
          <w:p w:rsidR="009800E9" w:rsidRPr="009800E9" w:rsidRDefault="009800E9" w:rsidP="00F82EC3">
            <w:pPr>
              <w:rPr>
                <w:rFonts w:ascii="Arial" w:hAnsi="Arial" w:cs="Arial"/>
                <w:b/>
              </w:rPr>
            </w:pPr>
            <w:r w:rsidRPr="009800E9">
              <w:rPr>
                <w:rFonts w:ascii="Arial" w:hAnsi="Arial" w:cs="Arial"/>
                <w:b/>
              </w:rPr>
              <w:t>Re-audit after intervention</w:t>
            </w:r>
          </w:p>
        </w:tc>
      </w:tr>
      <w:tr w:rsidR="009800E9" w:rsidRPr="009800E9" w:rsidTr="009800E9">
        <w:tc>
          <w:tcPr>
            <w:tcW w:w="1236" w:type="pct"/>
            <w:tcBorders>
              <w:top w:val="single" w:sz="4" w:space="0" w:color="auto"/>
              <w:left w:val="single" w:sz="4" w:space="0" w:color="auto"/>
              <w:bottom w:val="single" w:sz="4" w:space="0" w:color="auto"/>
              <w:right w:val="single" w:sz="4" w:space="0" w:color="auto"/>
            </w:tcBorders>
            <w:vAlign w:val="center"/>
            <w:hideMark/>
          </w:tcPr>
          <w:p w:rsidR="009800E9" w:rsidRPr="009800E9" w:rsidRDefault="009800E9" w:rsidP="00F82EC3">
            <w:pPr>
              <w:rPr>
                <w:rFonts w:ascii="Arial" w:hAnsi="Arial" w:cs="Arial"/>
              </w:rPr>
            </w:pPr>
            <w:r w:rsidRPr="009800E9">
              <w:rPr>
                <w:rFonts w:ascii="Arial" w:hAnsi="Arial" w:cs="Arial"/>
              </w:rPr>
              <w:t>Anti-platelet therapy within 24 hours of admission</w:t>
            </w:r>
          </w:p>
        </w:tc>
        <w:tc>
          <w:tcPr>
            <w:tcW w:w="1226" w:type="pct"/>
            <w:tcBorders>
              <w:top w:val="single" w:sz="4" w:space="0" w:color="auto"/>
              <w:left w:val="single" w:sz="4" w:space="0" w:color="auto"/>
              <w:bottom w:val="single" w:sz="4" w:space="0" w:color="auto"/>
              <w:right w:val="single" w:sz="4" w:space="0" w:color="auto"/>
            </w:tcBorders>
            <w:vAlign w:val="center"/>
            <w:hideMark/>
          </w:tcPr>
          <w:p w:rsidR="009800E9" w:rsidRPr="009800E9" w:rsidRDefault="009800E9" w:rsidP="00F82EC3">
            <w:pPr>
              <w:rPr>
                <w:rFonts w:ascii="Arial" w:hAnsi="Arial" w:cs="Arial"/>
              </w:rPr>
            </w:pPr>
            <w:r w:rsidRPr="009800E9">
              <w:rPr>
                <w:rFonts w:ascii="Arial" w:hAnsi="Arial" w:cs="Arial"/>
              </w:rPr>
              <w:t>95 %</w:t>
            </w:r>
          </w:p>
        </w:tc>
        <w:tc>
          <w:tcPr>
            <w:tcW w:w="1226" w:type="pct"/>
            <w:tcBorders>
              <w:top w:val="single" w:sz="4" w:space="0" w:color="auto"/>
              <w:left w:val="single" w:sz="4" w:space="0" w:color="auto"/>
              <w:bottom w:val="single" w:sz="4" w:space="0" w:color="auto"/>
              <w:right w:val="single" w:sz="4" w:space="0" w:color="auto"/>
            </w:tcBorders>
            <w:vAlign w:val="center"/>
            <w:hideMark/>
          </w:tcPr>
          <w:p w:rsidR="009800E9" w:rsidRPr="009800E9" w:rsidRDefault="009800E9" w:rsidP="00F82EC3">
            <w:pPr>
              <w:rPr>
                <w:rFonts w:ascii="Arial" w:hAnsi="Arial" w:cs="Arial"/>
                <w:bCs/>
              </w:rPr>
            </w:pPr>
            <w:r w:rsidRPr="009800E9">
              <w:rPr>
                <w:rFonts w:ascii="Arial" w:hAnsi="Arial" w:cs="Arial"/>
                <w:bCs/>
              </w:rPr>
              <w:t>12 / 17 = 71 %</w:t>
            </w:r>
          </w:p>
          <w:p w:rsidR="009800E9" w:rsidRPr="009800E9" w:rsidRDefault="009800E9" w:rsidP="00F82EC3">
            <w:pPr>
              <w:rPr>
                <w:rFonts w:ascii="Arial" w:hAnsi="Arial" w:cs="Arial"/>
                <w:b/>
                <w:color w:val="FF0000"/>
              </w:rPr>
            </w:pPr>
            <w:r w:rsidRPr="009800E9">
              <w:rPr>
                <w:rFonts w:ascii="Arial" w:hAnsi="Arial" w:cs="Arial"/>
                <w:b/>
                <w:bCs/>
                <w:color w:val="FF0000"/>
              </w:rPr>
              <w:t>Standard not met</w:t>
            </w:r>
          </w:p>
        </w:tc>
        <w:tc>
          <w:tcPr>
            <w:tcW w:w="1311" w:type="pct"/>
            <w:tcBorders>
              <w:top w:val="single" w:sz="4" w:space="0" w:color="auto"/>
              <w:left w:val="single" w:sz="4" w:space="0" w:color="auto"/>
              <w:bottom w:val="single" w:sz="4" w:space="0" w:color="auto"/>
              <w:right w:val="single" w:sz="4" w:space="0" w:color="auto"/>
            </w:tcBorders>
            <w:vAlign w:val="center"/>
            <w:hideMark/>
          </w:tcPr>
          <w:p w:rsidR="009800E9" w:rsidRPr="009800E9" w:rsidRDefault="009800E9" w:rsidP="00F82EC3">
            <w:pPr>
              <w:rPr>
                <w:rFonts w:ascii="Arial" w:hAnsi="Arial" w:cs="Arial"/>
                <w:bCs/>
              </w:rPr>
            </w:pPr>
            <w:r w:rsidRPr="009800E9">
              <w:rPr>
                <w:rFonts w:ascii="Arial" w:hAnsi="Arial" w:cs="Arial"/>
                <w:bCs/>
              </w:rPr>
              <w:t>14 / 14 = 100 %</w:t>
            </w:r>
          </w:p>
          <w:p w:rsidR="009800E9" w:rsidRPr="009800E9" w:rsidRDefault="009800E9" w:rsidP="00F82EC3">
            <w:pPr>
              <w:rPr>
                <w:rFonts w:ascii="Arial" w:hAnsi="Arial" w:cs="Arial"/>
                <w:b/>
                <w:color w:val="99CC00"/>
              </w:rPr>
            </w:pPr>
            <w:r w:rsidRPr="009800E9">
              <w:rPr>
                <w:rFonts w:ascii="Arial" w:hAnsi="Arial" w:cs="Arial"/>
                <w:b/>
                <w:bCs/>
                <w:color w:val="99CC00"/>
              </w:rPr>
              <w:t>Standard met</w:t>
            </w:r>
          </w:p>
        </w:tc>
      </w:tr>
    </w:tbl>
    <w:p w:rsidR="009800E9" w:rsidRPr="009800E9" w:rsidRDefault="009800E9" w:rsidP="009800E9">
      <w:pPr>
        <w:tabs>
          <w:tab w:val="left" w:pos="4975"/>
          <w:tab w:val="left" w:pos="5495"/>
        </w:tabs>
        <w:rPr>
          <w:rFonts w:ascii="Arial" w:hAnsi="Arial" w:cs="Arial"/>
        </w:rPr>
      </w:pPr>
    </w:p>
    <w:p w:rsidR="000A59B5" w:rsidRPr="009800E9" w:rsidRDefault="000A59B5">
      <w:pPr>
        <w:rPr>
          <w:rFonts w:ascii="Arial" w:hAnsi="Arial" w:cs="Arial"/>
        </w:rPr>
      </w:pPr>
    </w:p>
    <w:sectPr w:rsidR="000A59B5" w:rsidRPr="009800E9" w:rsidSect="00EB30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E9"/>
    <w:rsid w:val="0009508B"/>
    <w:rsid w:val="000A3DD3"/>
    <w:rsid w:val="000A59B5"/>
    <w:rsid w:val="000C0B6D"/>
    <w:rsid w:val="000F0956"/>
    <w:rsid w:val="0014102B"/>
    <w:rsid w:val="001474DB"/>
    <w:rsid w:val="00184195"/>
    <w:rsid w:val="001C5926"/>
    <w:rsid w:val="00206A08"/>
    <w:rsid w:val="00223126"/>
    <w:rsid w:val="00237A71"/>
    <w:rsid w:val="00245506"/>
    <w:rsid w:val="002A2845"/>
    <w:rsid w:val="002B2730"/>
    <w:rsid w:val="002B338C"/>
    <w:rsid w:val="002D3BF5"/>
    <w:rsid w:val="002E0B75"/>
    <w:rsid w:val="002F1E71"/>
    <w:rsid w:val="00344D34"/>
    <w:rsid w:val="00391412"/>
    <w:rsid w:val="003D055B"/>
    <w:rsid w:val="00473E75"/>
    <w:rsid w:val="00504B8A"/>
    <w:rsid w:val="00517905"/>
    <w:rsid w:val="0055705C"/>
    <w:rsid w:val="00563019"/>
    <w:rsid w:val="005846B8"/>
    <w:rsid w:val="005A348F"/>
    <w:rsid w:val="005A6938"/>
    <w:rsid w:val="005D68D9"/>
    <w:rsid w:val="00635008"/>
    <w:rsid w:val="006A41DE"/>
    <w:rsid w:val="006C745C"/>
    <w:rsid w:val="00707B2A"/>
    <w:rsid w:val="00737204"/>
    <w:rsid w:val="0074620E"/>
    <w:rsid w:val="007B0705"/>
    <w:rsid w:val="00880D07"/>
    <w:rsid w:val="008D36EE"/>
    <w:rsid w:val="008F69A7"/>
    <w:rsid w:val="00923221"/>
    <w:rsid w:val="009567F1"/>
    <w:rsid w:val="009717E4"/>
    <w:rsid w:val="009800E9"/>
    <w:rsid w:val="00982FC2"/>
    <w:rsid w:val="009A7191"/>
    <w:rsid w:val="009D2348"/>
    <w:rsid w:val="009E7F19"/>
    <w:rsid w:val="00A82913"/>
    <w:rsid w:val="00AB0517"/>
    <w:rsid w:val="00AC4A0A"/>
    <w:rsid w:val="00B036C7"/>
    <w:rsid w:val="00B57F74"/>
    <w:rsid w:val="00B633E4"/>
    <w:rsid w:val="00B70A13"/>
    <w:rsid w:val="00B928FB"/>
    <w:rsid w:val="00BB7DB0"/>
    <w:rsid w:val="00BE1298"/>
    <w:rsid w:val="00C120C0"/>
    <w:rsid w:val="00C93ED6"/>
    <w:rsid w:val="00CA419B"/>
    <w:rsid w:val="00CB5C51"/>
    <w:rsid w:val="00CE0DB1"/>
    <w:rsid w:val="00CF0CCC"/>
    <w:rsid w:val="00D50588"/>
    <w:rsid w:val="00DB3707"/>
    <w:rsid w:val="00E121C2"/>
    <w:rsid w:val="00E15580"/>
    <w:rsid w:val="00EB205E"/>
    <w:rsid w:val="00EB300D"/>
    <w:rsid w:val="00F07A4E"/>
    <w:rsid w:val="00F1541C"/>
    <w:rsid w:val="00F257EB"/>
    <w:rsid w:val="00FA021F"/>
    <w:rsid w:val="00FC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E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E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Tonder Melanie (NHS South West)</dc:creator>
  <cp:lastModifiedBy>Van Tonder Melanie (NHS South West)</cp:lastModifiedBy>
  <cp:revision>1</cp:revision>
  <dcterms:created xsi:type="dcterms:W3CDTF">2013-04-08T11:21:00Z</dcterms:created>
  <dcterms:modified xsi:type="dcterms:W3CDTF">2013-04-08T11:22:00Z</dcterms:modified>
</cp:coreProperties>
</file>